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center"/>
        <w:rPr>
          <w:rFonts w:ascii="Times New Roman" w:hAnsi="Times New Roman" w:cs="Times New Roman"/>
          <w:b/>
          <w:bCs/>
          <w:color w:val="292929"/>
          <w:u w:val="single"/>
        </w:rPr>
      </w:pPr>
      <w:r>
        <w:rPr>
          <w:rFonts w:ascii="Times New Roman" w:hAnsi="Times New Roman" w:cs="Times New Roman"/>
          <w:b/>
          <w:bCs/>
          <w:color w:val="292929"/>
          <w:u w:val="single"/>
        </w:rPr>
        <w:t>LISTE NON EXHAUSTIVE</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center"/>
        <w:rPr>
          <w:rFonts w:ascii="Times New Roman" w:hAnsi="Times New Roman" w:cs="Times New Roman"/>
          <w:b/>
          <w:bCs/>
          <w:color w:val="292929"/>
          <w:u w:val="single"/>
        </w:rPr>
      </w:pPr>
      <w:r>
        <w:rPr>
          <w:rFonts w:ascii="Times New Roman" w:hAnsi="Times New Roman" w:cs="Times New Roman"/>
          <w:b/>
          <w:bCs/>
          <w:color w:val="292929"/>
          <w:u w:val="single"/>
        </w:rPr>
        <w:t>DES PIECES COMPLEMENTAIRES POURRONT ETRE DEMANDEES EN FONCTION DE LA SITUATION DU DOSSIER</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u w:val="single"/>
        </w:rPr>
      </w:pPr>
      <w:r>
        <w:rPr>
          <w:rFonts w:ascii="Times New Roman" w:hAnsi="Times New Roman" w:cs="Times New Roman"/>
          <w:b/>
          <w:bCs/>
          <w:color w:val="292929"/>
          <w:u w:val="single"/>
        </w:rPr>
        <w:t>1) ETAT CIVIL VENDEUR ET ACQUEREUR</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Copie de votre pièce d’identité,</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fiche d'état civil jointe au mail dûment complétée</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 xml:space="preserve"> copie de votre contrat de mariage ou de votre convention de PACS avec les mentions d'enregistrement </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Relevé d’identité bancaire de l'acquéreur et du vendeur (</w:t>
      </w:r>
      <w:r>
        <w:rPr>
          <w:rFonts w:ascii="Times New Roman" w:hAnsi="Times New Roman" w:cs="Times New Roman"/>
          <w:b/>
          <w:bCs/>
          <w:color w:val="FF0000"/>
        </w:rPr>
        <w:t>signé par le titulaire du compte</w:t>
      </w:r>
      <w:r>
        <w:rPr>
          <w:rFonts w:ascii="Times New Roman" w:hAnsi="Times New Roman" w:cs="Times New Roman"/>
          <w:b/>
          <w:bCs/>
          <w:color w:val="292929"/>
        </w:rPr>
        <w:t>)</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u w:val="single"/>
        </w:rPr>
        <w:t>2) titres de propriété, règlement de copropriété et modificatifs de copropriété</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titre de propriété,</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Titre(s) de propriété antérieur(s) si vous êtes en leur possession</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rPr>
      </w:pPr>
      <w:r>
        <w:rPr>
          <w:rFonts w:ascii="Times New Roman" w:hAnsi="Times New Roman" w:cs="Times New Roman"/>
          <w:b/>
          <w:bCs/>
          <w:color w:val="333333"/>
        </w:rPr>
        <w:t>les plans des lots vendus (</w:t>
      </w:r>
      <w:r>
        <w:rPr>
          <w:rFonts w:ascii="Times New Roman" w:hAnsi="Times New Roman" w:cs="Times New Roman"/>
          <w:b/>
          <w:bCs/>
          <w:color w:val="FF0000"/>
        </w:rPr>
        <w:t>à demander au syndic</w:t>
      </w:r>
      <w:r>
        <w:rPr>
          <w:rFonts w:ascii="Times New Roman" w:hAnsi="Times New Roman" w:cs="Times New Roman"/>
          <w:b/>
          <w:bCs/>
          <w:color w:val="333333"/>
        </w:rPr>
        <w:t>)</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color w:val="292929"/>
        </w:rPr>
        <w:t>3</w:t>
      </w:r>
      <w:r>
        <w:rPr>
          <w:rFonts w:ascii="Times New Roman" w:hAnsi="Times New Roman" w:cs="Times New Roman"/>
          <w:b/>
          <w:color w:val="292929"/>
          <w:u w:val="single"/>
        </w:rPr>
        <w:t>) dossier loi ALUR</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color w:val="292929"/>
        </w:rPr>
        <w:t>Pré-état à faire établir par le syndic de copropriété (payant)</w:t>
      </w:r>
    </w:p>
    <w:p>
      <w:pPr>
        <w:pStyle w:val="Enumration"/>
        <w:numPr>
          <w:ilvl w:val="0"/>
          <w:numId w:val="0"/>
        </w:numPr>
        <w:rPr>
          <w:rFonts w:ascii="Times New Roman" w:eastAsiaTheme="minorHAnsi" w:hAnsi="Times New Roman"/>
          <w:color w:val="292929"/>
          <w:sz w:val="22"/>
          <w:szCs w:val="22"/>
          <w:lang w:eastAsia="en-US"/>
        </w:rPr>
      </w:pPr>
      <w:r>
        <w:rPr>
          <w:rFonts w:ascii="Times New Roman" w:eastAsiaTheme="minorHAnsi" w:hAnsi="Times New Roman"/>
          <w:color w:val="292929"/>
          <w:sz w:val="22"/>
          <w:szCs w:val="22"/>
          <w:lang w:eastAsia="en-US"/>
        </w:rPr>
        <w:t>Les procès-verbaux des assemblées générales des trois dernières années.</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color w:val="292929"/>
        </w:rPr>
      </w:pPr>
      <w:r>
        <w:rPr>
          <w:rFonts w:ascii="Times New Roman" w:hAnsi="Times New Roman" w:cs="Times New Roman"/>
          <w:color w:val="292929"/>
        </w:rPr>
        <w:t>La fiche synthétique de la copropriété prévue à l'article 8-2 de la loi numéro 65-557 du 10 juillet 1965 dont le contenu est fixé par décret numéro 2016-1822 du 21 décembre 2016</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color w:val="292929"/>
        </w:rPr>
      </w:pPr>
      <w:r>
        <w:rPr>
          <w:rFonts w:ascii="Times New Roman" w:hAnsi="Times New Roman" w:cs="Times New Roman"/>
          <w:color w:val="292929"/>
        </w:rPr>
        <w:t>Le diagnostic technique global s’il a été établie</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cs="Arial"/>
        </w:rPr>
      </w:pP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u w:val="single"/>
        </w:rPr>
      </w:pPr>
      <w:r>
        <w:rPr>
          <w:rFonts w:ascii="Times New Roman" w:hAnsi="Times New Roman" w:cs="Times New Roman"/>
          <w:b/>
          <w:bCs/>
          <w:color w:val="333333"/>
        </w:rPr>
        <w:t xml:space="preserve">Règlement de copropriété </w:t>
      </w:r>
      <w:r>
        <w:rPr>
          <w:rFonts w:ascii="Times New Roman" w:hAnsi="Times New Roman" w:cs="Times New Roman"/>
          <w:b/>
          <w:bCs/>
          <w:color w:val="333333"/>
          <w:u w:val="single"/>
        </w:rPr>
        <w:t>et tous les actes modificatifs,</w:t>
      </w:r>
      <w:r>
        <w:rPr>
          <w:rFonts w:ascii="Times New Roman" w:hAnsi="Times New Roman" w:cs="Times New Roman"/>
          <w:b/>
          <w:bCs/>
          <w:color w:val="333333"/>
        </w:rPr>
        <w:t xml:space="preserve"> (il est demandé au VENDEUR une provision de 100 euros pour lever un état hypothécaire afin de s'assurer du nombre de modificatifs sur le règlement de copropriété du bien vendu)</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b/>
          <w:bCs/>
          <w:color w:val="292929"/>
          <w:u w:val="single"/>
        </w:rPr>
        <w:t>4) diagnostics immobiliers</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b/>
          <w:bCs/>
          <w:color w:val="292929"/>
          <w:u w:val="single"/>
        </w:rPr>
        <w:t>parties privatives</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292929"/>
        </w:rPr>
      </w:pPr>
      <w:r>
        <w:rPr>
          <w:rFonts w:ascii="Times New Roman" w:hAnsi="Times New Roman" w:cs="Times New Roman"/>
          <w:b/>
          <w:bCs/>
          <w:color w:val="292929"/>
        </w:rPr>
        <w:t>Dossier de diagnostics techniques comprenant :</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292929"/>
        </w:rPr>
      </w:pPr>
      <w:r>
        <w:rPr>
          <w:rFonts w:ascii="Times New Roman" w:hAnsi="Times New Roman" w:cs="Times New Roman"/>
          <w:b/>
          <w:bCs/>
          <w:color w:val="292929"/>
        </w:rPr>
        <w:t>1) Certificat de mesurage loi carrez,</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rPr>
      </w:pPr>
      <w:r>
        <w:rPr>
          <w:rFonts w:ascii="Times New Roman" w:hAnsi="Times New Roman" w:cs="Times New Roman"/>
          <w:b/>
          <w:bCs/>
          <w:color w:val="333333"/>
        </w:rPr>
        <w:t>2) Diagnostic amiante</w:t>
      </w:r>
      <w:r>
        <w:rPr>
          <w:rFonts w:ascii="Times New Roman" w:hAnsi="Times New Roman" w:cs="Times New Roman"/>
          <w:b/>
          <w:bCs/>
        </w:rPr>
        <w:t xml:space="preserve"> à jour de la nouvelle loi datant de 2012</w:t>
      </w:r>
      <w:r>
        <w:rPr>
          <w:rFonts w:ascii="Times New Roman" w:hAnsi="Times New Roman" w:cs="Times New Roman"/>
        </w:rPr>
        <w:t xml:space="preserve"> </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color w:val="333333"/>
        </w:rPr>
      </w:pPr>
      <w:r>
        <w:rPr>
          <w:rFonts w:ascii="Times New Roman" w:hAnsi="Times New Roman" w:cs="Times New Roman"/>
          <w:b/>
          <w:bCs/>
          <w:color w:val="333333"/>
        </w:rPr>
        <w:t xml:space="preserve">3) Diagnostic plomb datant de moins d’un an </w:t>
      </w:r>
      <w:r>
        <w:rPr>
          <w:rFonts w:ascii="Times New Roman" w:hAnsi="Times New Roman" w:cs="Times New Roman"/>
          <w:color w:val="333333"/>
        </w:rPr>
        <w:t>(si immeuble construit avant le 1er janvier 1948)</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r>
        <w:rPr>
          <w:rFonts w:ascii="Times New Roman" w:hAnsi="Times New Roman" w:cs="Times New Roman"/>
          <w:b/>
          <w:bCs/>
          <w:color w:val="333333"/>
        </w:rPr>
        <w:t xml:space="preserve">4) Etat des risques naturels et technologiques datant de </w:t>
      </w:r>
      <w:r>
        <w:rPr>
          <w:rFonts w:ascii="Times New Roman" w:hAnsi="Times New Roman" w:cs="Times New Roman"/>
          <w:b/>
          <w:bCs/>
          <w:color w:val="FF0000"/>
        </w:rPr>
        <w:t>moins de 6 mois</w:t>
      </w:r>
      <w:r>
        <w:rPr>
          <w:rFonts w:ascii="Times New Roman" w:hAnsi="Times New Roman" w:cs="Times New Roman"/>
          <w:b/>
          <w:bCs/>
          <w:color w:val="333333"/>
        </w:rPr>
        <w:t xml:space="preserve"> à la date de la vente</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rPr>
      </w:pPr>
      <w:r>
        <w:rPr>
          <w:rFonts w:ascii="Times New Roman" w:hAnsi="Times New Roman" w:cs="Times New Roman"/>
          <w:b/>
          <w:bCs/>
          <w:color w:val="333333"/>
        </w:rPr>
        <w:t>5) Diagnostic de performance énergétique,</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rPr>
      </w:pPr>
      <w:r>
        <w:rPr>
          <w:rFonts w:ascii="Times New Roman" w:hAnsi="Times New Roman" w:cs="Times New Roman"/>
          <w:b/>
          <w:bCs/>
          <w:color w:val="333333"/>
        </w:rPr>
        <w:t xml:space="preserve">6) Diagnostic gaz datant de moins de 3 ans </w:t>
      </w:r>
      <w:r>
        <w:rPr>
          <w:rFonts w:ascii="Times New Roman" w:hAnsi="Times New Roman" w:cs="Times New Roman"/>
        </w:rPr>
        <w:t>(si le bien est concerné)</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rPr>
      </w:pPr>
      <w:r>
        <w:rPr>
          <w:rFonts w:ascii="Times New Roman" w:hAnsi="Times New Roman" w:cs="Times New Roman"/>
          <w:b/>
          <w:bCs/>
          <w:color w:val="333333"/>
        </w:rPr>
        <w:t xml:space="preserve">7) Diagnostic électricité datant de moins de 3 ans </w:t>
      </w:r>
      <w:r>
        <w:rPr>
          <w:rFonts w:ascii="Times New Roman" w:hAnsi="Times New Roman" w:cs="Times New Roman"/>
        </w:rPr>
        <w:t>(si le bien est concerné)</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bookmarkStart w:id="0" w:name="_GoBack"/>
      <w:bookmarkEnd w:id="0"/>
      <w:r>
        <w:rPr>
          <w:rFonts w:ascii="Times New Roman" w:hAnsi="Times New Roman" w:cs="Times New Roman"/>
          <w:b/>
          <w:bCs/>
          <w:color w:val="333333"/>
        </w:rPr>
        <w:t>8) Attestations de compétence et d’assurance du diagnostiqueur,</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u w:val="single"/>
        </w:rPr>
      </w:pPr>
      <w:r>
        <w:rPr>
          <w:rFonts w:ascii="Times New Roman" w:hAnsi="Times New Roman" w:cs="Times New Roman"/>
          <w:b/>
          <w:bCs/>
          <w:color w:val="333333"/>
        </w:rPr>
        <w:t>9)</w:t>
      </w:r>
      <w:r>
        <w:rPr>
          <w:rFonts w:ascii="Times New Roman" w:hAnsi="Times New Roman" w:cs="Times New Roman"/>
          <w:b/>
          <w:bCs/>
          <w:color w:val="333333"/>
          <w:u w:val="single"/>
        </w:rPr>
        <w:t xml:space="preserve"> raccordement au réseau public d'assainissement</w:t>
      </w:r>
      <w:r>
        <w:rPr>
          <w:rFonts w:ascii="Times New Roman" w:hAnsi="Times New Roman" w:cs="Times New Roman"/>
          <w:b/>
          <w:bCs/>
          <w:color w:val="333333"/>
        </w:rPr>
        <w:t xml:space="preserve"> : dans certaines communes, il est obligatoire de faire le contrôle de la conformité du raccordement au réseau d'assainissement </w:t>
      </w:r>
      <w:r>
        <w:rPr>
          <w:rFonts w:ascii="Times New Roman" w:hAnsi="Times New Roman" w:cs="Times New Roman"/>
          <w:b/>
          <w:bCs/>
          <w:color w:val="333333"/>
          <w:u w:val="single"/>
        </w:rPr>
        <w:t>et ce même pour un bien en copropriété.</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rPr>
      </w:pPr>
      <w:r>
        <w:rPr>
          <w:rFonts w:ascii="Times New Roman" w:hAnsi="Times New Roman" w:cs="Times New Roman"/>
          <w:b/>
          <w:bCs/>
          <w:color w:val="333333"/>
        </w:rPr>
        <w:t>Il faut appeler la Mairie pour se renseigner si votre bien est concerné par le contrôle de la conformité au raccordement au réseau d'assainissement. Dans l'affirmative, il convient de faire réaliser ce contrôle de conformité avant la promesse de vente. Ce contrôle doit avoir moins de trois ans.</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u w:val="single"/>
        </w:rPr>
      </w:pPr>
      <w:r>
        <w:rPr>
          <w:rFonts w:ascii="Times New Roman" w:hAnsi="Times New Roman" w:cs="Times New Roman"/>
          <w:b/>
          <w:bCs/>
          <w:color w:val="333333"/>
          <w:u w:val="single"/>
        </w:rPr>
        <w:t>parties communes</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 w:line="240" w:lineRule="auto"/>
        <w:jc w:val="both"/>
        <w:rPr>
          <w:rFonts w:ascii="Times New Roman" w:hAnsi="Times New Roman" w:cs="Times New Roman"/>
          <w:b/>
          <w:bCs/>
          <w:color w:val="333333"/>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333333"/>
        </w:rPr>
      </w:pPr>
      <w:r>
        <w:rPr>
          <w:rFonts w:ascii="Times New Roman" w:hAnsi="Times New Roman" w:cs="Times New Roman"/>
          <w:b/>
          <w:bCs/>
          <w:color w:val="333333"/>
        </w:rPr>
        <w:t>1) le diagnostic amiante dans les parties communes (à demander au syndic)</w:t>
      </w: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rPr>
      </w:pPr>
      <w:r>
        <w:rPr>
          <w:rFonts w:ascii="Times New Roman" w:hAnsi="Times New Roman" w:cs="Times New Roman"/>
          <w:b/>
          <w:bCs/>
          <w:color w:val="333333"/>
        </w:rPr>
        <w:t>2) le diagnostic plomb dans les parties communes (à demander au syndic, si concerné)</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333333"/>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b/>
          <w:bCs/>
          <w:color w:val="292929"/>
          <w:u w:val="single"/>
        </w:rPr>
        <w:t>5) DIVERS</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Copie du dernier avis de taxes foncières</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color w:val="292929"/>
        </w:rPr>
      </w:pPr>
      <w:r>
        <w:rPr>
          <w:rFonts w:ascii="Times New Roman" w:hAnsi="Times New Roman" w:cs="Times New Roman"/>
          <w:color w:val="292929"/>
        </w:rPr>
        <w:t>S’il existe des inscriptions hypothécaires sur le bien vendu, m'adresser la copie de l'offre de prêt avec le tableau des échéances</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40" w:line="240" w:lineRule="auto"/>
        <w:jc w:val="both"/>
        <w:rPr>
          <w:rFonts w:ascii="Times New Roman" w:hAnsi="Times New Roman" w:cs="Times New Roman"/>
          <w:b/>
          <w:bCs/>
          <w:color w:val="292929"/>
        </w:rPr>
      </w:pPr>
      <w:r>
        <w:rPr>
          <w:rFonts w:ascii="Times New Roman" w:hAnsi="Times New Roman" w:cs="Times New Roman"/>
          <w:b/>
          <w:bCs/>
          <w:color w:val="292929"/>
        </w:rPr>
        <w:t>Si l’appartement est ou a été loué copie du bail en cours ou congé du locataire,</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u w:val="single"/>
        </w:rPr>
      </w:pP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u w:val="single"/>
        </w:rPr>
      </w:pPr>
      <w:r>
        <w:rPr>
          <w:rFonts w:ascii="Times New Roman" w:hAnsi="Times New Roman" w:cs="Times New Roman"/>
          <w:b/>
          <w:bCs/>
          <w:color w:val="333333"/>
          <w:u w:val="single"/>
        </w:rPr>
        <w:t xml:space="preserve">6) VIREMENTS A FAIRE AU NOTAIRE AVANT LA PROMESSE DE VENTE </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rPr>
      </w:pPr>
      <w:r>
        <w:rPr>
          <w:rFonts w:ascii="Times New Roman" w:hAnsi="Times New Roman" w:cs="Times New Roman"/>
          <w:b/>
          <w:bCs/>
          <w:color w:val="333333"/>
        </w:rPr>
        <w:t>A LA CHARGE DU VENDEUR : 100 euros de la part du PROMETTANT (VENDEUR) pour lever un état hypothécaire et faire la demande des plans de copropriété si besoin.</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rPr>
      </w:pPr>
      <w:r>
        <w:rPr>
          <w:rFonts w:ascii="Times New Roman" w:hAnsi="Times New Roman" w:cs="Times New Roman"/>
          <w:b/>
          <w:bCs/>
          <w:color w:val="333333"/>
        </w:rPr>
        <w:t>A LA CHARGE DE L'ACQUEUR : 525 euros (frais d'établissement de la promesse de vente et  son enregistrement) et 100 euros de provision sur frais pour démarrer le dossier qui s’imputera sur la provision finale.</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rPr>
      </w:pPr>
      <w:r>
        <w:rPr>
          <w:rFonts w:ascii="Times New Roman" w:hAnsi="Times New Roman" w:cs="Times New Roman"/>
          <w:b/>
          <w:bCs/>
          <w:color w:val="333333"/>
          <w:u w:val="single"/>
        </w:rPr>
        <w:t>Le montant de l'indemnité d'immobilisation</w:t>
      </w:r>
      <w:r>
        <w:rPr>
          <w:rFonts w:ascii="Times New Roman" w:hAnsi="Times New Roman" w:cs="Times New Roman"/>
          <w:b/>
          <w:bCs/>
          <w:color w:val="333333"/>
        </w:rPr>
        <w:t xml:space="preserve"> qui ne peut être supérieure à 10 % du prix de vente </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rPr>
      </w:pPr>
      <w:r>
        <w:rPr>
          <w:rFonts w:ascii="Times New Roman" w:hAnsi="Times New Roman" w:cs="Times New Roman"/>
          <w:b/>
          <w:bCs/>
          <w:color w:val="333333"/>
        </w:rPr>
        <w:t>(Indemnité destinée à indemniser le PROMETTANT dans l'hypothèse où le BENEFICIAIRE DE LA VENTE ne voudrait plus acheter alors que toutes les conditions suspensives seraient remplies.  Dans la majorité des cas cette somme est une avance sur le prix de vente)</w:t>
      </w:r>
    </w:p>
    <w:p>
      <w:pPr>
        <w:tabs>
          <w:tab w:val="left" w:pos="69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jc w:val="both"/>
        <w:rPr>
          <w:rFonts w:ascii="Times New Roman" w:hAnsi="Times New Roman" w:cs="Times New Roman"/>
          <w:b/>
          <w:bCs/>
          <w:color w:val="333333"/>
        </w:rPr>
      </w:pPr>
      <w:r>
        <w:rPr>
          <w:rFonts w:ascii="Times New Roman" w:hAnsi="Times New Roman" w:cs="Times New Roman"/>
          <w:b/>
          <w:bCs/>
          <w:color w:val="333333"/>
        </w:rPr>
        <w:t>Si les conditions suspensives telles que l'obtention de son prêt par l'acquéreur ne se réaliseraient pas, le BENEFICIAIRE peut récupérer son indemnité d'immobilisation (les détails seront indiqués dans la promesse de vente)</w:t>
      </w:r>
    </w:p>
    <w:p>
      <w:pPr>
        <w:tabs>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ind w:left="1021" w:hanging="341"/>
        <w:jc w:val="both"/>
        <w:rPr>
          <w:rFonts w:ascii="Times New Roman" w:hAnsi="Times New Roman" w:cs="Times New Roman"/>
          <w:b/>
          <w:bCs/>
          <w:color w:val="333333"/>
        </w:rPr>
      </w:pPr>
    </w:p>
    <w:p>
      <w:pPr>
        <w:tabs>
          <w:tab w:val="left" w:pos="10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 w:line="240" w:lineRule="auto"/>
        <w:jc w:val="both"/>
        <w:rPr>
          <w:rFonts w:ascii="Times New Roman" w:hAnsi="Times New Roman" w:cs="Times New Roman"/>
          <w:b/>
          <w:bCs/>
          <w:color w:val="333333"/>
        </w:rPr>
      </w:pPr>
    </w:p>
    <w:p>
      <w:pPr>
        <w:widowControl w:val="0"/>
        <w:autoSpaceDE w:val="0"/>
        <w:autoSpaceDN w:val="0"/>
        <w:adjustRightInd w:val="0"/>
        <w:spacing w:after="0" w:line="240" w:lineRule="auto"/>
        <w:rPr>
          <w:rFonts w:ascii="Times New Roman" w:hAnsi="Times New Roman" w:cs="Times New Roman"/>
        </w:rPr>
      </w:pPr>
    </w:p>
    <w:p>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w:t>
      </w:r>
    </w:p>
    <w:p>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w:t>
      </w:r>
    </w:p>
    <w:p>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sectPr>
      <w:headerReference w:type="default" r:id="rId8"/>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r>
      <w:rPr>
        <w:noProof/>
      </w:rPr>
      <w:drawing>
        <wp:anchor distT="0" distB="0" distL="114300" distR="114300" simplePos="0" relativeHeight="251658240" behindDoc="1" locked="0" layoutInCell="1" allowOverlap="1">
          <wp:simplePos x="0" y="0"/>
          <wp:positionH relativeFrom="column">
            <wp:posOffset>924560</wp:posOffset>
          </wp:positionH>
          <wp:positionV relativeFrom="paragraph">
            <wp:posOffset>-342900</wp:posOffset>
          </wp:positionV>
          <wp:extent cx="2850515" cy="16012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ducee-notaire-couleur.jpg"/>
                  <pic:cNvPicPr/>
                </pic:nvPicPr>
                <pic:blipFill>
                  <a:blip r:embed="rId1">
                    <a:extLst>
                      <a:ext uri="{28A0092B-C50C-407E-A947-70E740481C1C}">
                        <a14:useLocalDpi xmlns:a14="http://schemas.microsoft.com/office/drawing/2010/main" val="0"/>
                      </a:ext>
                    </a:extLst>
                  </a:blip>
                  <a:stretch>
                    <a:fillRect/>
                  </a:stretch>
                </pic:blipFill>
                <pic:spPr>
                  <a:xfrm>
                    <a:off x="0" y="0"/>
                    <a:ext cx="2850515" cy="16012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643B5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11CB3A79"/>
    <w:multiLevelType w:val="hybridMultilevel"/>
    <w:tmpl w:val="2D4282D8"/>
    <w:lvl w:ilvl="0" w:tplc="FFFFFFFF">
      <w:start w:val="1"/>
      <w:numFmt w:val="bullet"/>
      <w:pStyle w:val="Enumration"/>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69331F-814E-4662-AA42-BAA1665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style>
  <w:style w:type="paragraph" w:customStyle="1" w:styleId="PMSONORMAL">
    <w:name w:val="P.MSONORMAL"/>
    <w:basedOn w:val="Normal0"/>
    <w:uiPriority w:val="99"/>
    <w:pPr>
      <w:widowControl/>
      <w:tabs>
        <w:tab w:val="left" w:pos="0"/>
      </w:tabs>
    </w:pPr>
    <w:rPr>
      <w:rFonts w:ascii="Calibri" w:hAnsi="Calibri" w:cs="Calibri"/>
      <w:sz w:val="22"/>
      <w:szCs w:val="22"/>
    </w:rPr>
  </w:style>
  <w:style w:type="character" w:customStyle="1" w:styleId="B">
    <w:name w:val="B"/>
    <w:basedOn w:val="Policepardfaut"/>
    <w:uiPriority w:val="99"/>
    <w:rPr>
      <w:b/>
      <w:bCs/>
    </w:rPr>
  </w:style>
  <w:style w:type="character" w:customStyle="1" w:styleId="SPANAPPLE-CONVERTED-SPACE">
    <w:name w:val="SPAN.APPLE-CONVERTED-SPACE"/>
    <w:basedOn w:val="Policepardfaut"/>
    <w:uiPriority w:val="99"/>
  </w:style>
  <w:style w:type="character" w:customStyle="1" w:styleId="U">
    <w:name w:val="U"/>
    <w:basedOn w:val="Policepardfaut"/>
    <w:uiPriority w:val="99"/>
    <w:rPr>
      <w:u w:val="single"/>
    </w:rPr>
  </w:style>
  <w:style w:type="paragraph" w:styleId="Listepuces2">
    <w:name w:val="List Bullet 2"/>
    <w:basedOn w:val="Normal"/>
    <w:uiPriority w:val="99"/>
    <w:pPr>
      <w:numPr>
        <w:numId w:val="1"/>
      </w:numPr>
      <w:tabs>
        <w:tab w:val="clear" w:pos="643"/>
        <w:tab w:val="left" w:pos="1021"/>
      </w:tabs>
      <w:autoSpaceDE w:val="0"/>
      <w:autoSpaceDN w:val="0"/>
      <w:adjustRightInd w:val="0"/>
      <w:spacing w:after="0" w:line="240" w:lineRule="auto"/>
      <w:ind w:left="1021" w:hanging="341"/>
      <w:jc w:val="both"/>
    </w:pPr>
    <w:rPr>
      <w:rFonts w:ascii="Times New Roman" w:hAnsi="Times New Roman" w:cs="Times New Roman"/>
      <w:sz w:val="24"/>
      <w:szCs w:val="24"/>
    </w:rPr>
  </w:style>
  <w:style w:type="paragraph" w:styleId="Paragraphedeliste">
    <w:name w:val="List Paragraph"/>
    <w:basedOn w:val="Normal"/>
    <w:uiPriority w:val="34"/>
    <w:qFormat/>
    <w:pPr>
      <w:ind w:left="720"/>
      <w:contextualSpacing/>
    </w:pPr>
  </w:style>
  <w:style w:type="paragraph" w:customStyle="1" w:styleId="Enumration">
    <w:name w:val="Enumération"/>
    <w:basedOn w:val="Normal"/>
    <w:qFormat/>
    <w:pPr>
      <w:numPr>
        <w:numId w:val="2"/>
      </w:numPr>
      <w:spacing w:before="60" w:after="120" w:line="240" w:lineRule="auto"/>
      <w:jc w:val="both"/>
    </w:pPr>
    <w:rPr>
      <w:rFonts w:ascii="Arial" w:eastAsia="Times New Roman" w:hAnsi="Arial" w:cs="Times New Roman"/>
      <w:sz w:val="20"/>
      <w:szCs w:val="20"/>
      <w:lang w:eastAsia="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CAFD-E1FD-477E-815F-B3E226FA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596</Words>
  <Characters>3281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ACL</cp:lastModifiedBy>
  <cp:revision>18</cp:revision>
  <dcterms:created xsi:type="dcterms:W3CDTF">2016-06-17T18:01:00Z</dcterms:created>
  <dcterms:modified xsi:type="dcterms:W3CDTF">2021-10-09T06:27:00Z</dcterms:modified>
</cp:coreProperties>
</file>